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Балалармен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не 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ойнау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керек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Сөз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ойындарын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ойнау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өйткені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сөйлеуінде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синонимдерді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антонимдерді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пайдаланады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дауысты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дауыссыздарды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ажыратады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сөздегі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буындардың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сөздегі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дыбыстың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басы,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ңы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анықтай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 Конструктор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логикалық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дамытады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Мұнда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қарапайым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өрнектерден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сызба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бүктеу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сәт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Текшелер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басқатырғыштар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мозаиканы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өлшемге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салу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талдағыштарды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дамытады-көру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логикалық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сөздік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логикалық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кестелер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Түрлік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тақырыптық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жіктемеге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салынған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тапсырмалар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қабілетін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істеуге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мәжбү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Мысалы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Төртінші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</w:rPr>
        <w:t>өрісінің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жағдайды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білуі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таңдауын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білуі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4"/>
          <w:rFonts w:ascii="Arial" w:hAnsi="Arial" w:cs="Arial"/>
          <w:color w:val="000000"/>
          <w:sz w:val="21"/>
          <w:szCs w:val="21"/>
        </w:rPr>
        <w:t>"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Рет-ретімен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орналастыр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".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тақырыпқа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бірнеше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иллюстрациялар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ұсынылады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қиғаны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кейінірек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бейнелейтін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иллюстрациялардың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қайсысын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Мұнда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ізділікті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логикалық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заңдылықтарды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бақылап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негіздеуі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 "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Кім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бай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>қағыштау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"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жадқа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жаттығу-кесте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ұсынылады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схемалық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бейнесі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символдар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салынуы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мүмкін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біраз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уақыт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ізділікті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кестені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болатындай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ойындарда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тұлғалық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аспектісі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логика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бақыланады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Жаттығуды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қуанады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сенімділі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жеңіске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ықыласты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сезінеді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Балаға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"Мен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істей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алатынымды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"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білу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өте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маңызды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ересек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жасындағы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өздігінен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әдейі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қарқынды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белсенді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қызметі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ұйымдастырылған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оқытудың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арқасында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асырылады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көрнек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і-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бейнелі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формаларының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қалыптасуы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арқасында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операцияларын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осы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мұқтаж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теориялық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кеңейтеді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есту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тактильді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сезгі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іктің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көмегімен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қабылдай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жадында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сенсорлық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эталондар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базасын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пайдаланады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5-6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жастағы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балалардың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танымдық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үрдістерін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дамыту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:rsidR="001F746D" w:rsidRDefault="001F746D" w:rsidP="001F746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абылдау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қасиеттерін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бағалауға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мысалы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ұзындығы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биіктігі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т.б.).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5-6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жастағы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түсінігі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дәлірек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сөйлеуі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анағұрлым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байланыстырылған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грамматикалық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құрылысы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жетілді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Сөйлеудің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эгоцентризмі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коммуникация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үрдісінің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сапалы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үрдіс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жетілді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дамуында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рөл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қиял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ойнай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бастайды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зияткерлік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дамуына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ықпал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эмоциялар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5-6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жастағы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бала: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Зейін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- 10-12 минут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ңдамай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тапсырманы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- 6-7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</w:rPr>
        <w:t>өрісінде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ұстау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арасындағы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5-6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айырмашылықты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табу;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тапсырмаларды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бетінше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- 4-5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табу.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Жады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- 1-2 минут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6-8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суреттерді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бірнеше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өлеңдерді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жат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туындыны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мәтінге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мазмұнын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салыстыру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;- -10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ішінен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6-7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Ойлау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оқиғалар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тізбегін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proofErr w:type="gram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бүктеу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суреттегі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сәйкессіздіктерді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табу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Төртінші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тауып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таңдауын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Математикалық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қабілеттер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- 1-ға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сандық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сандарды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бойыншақатар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сандарды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салыстыру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аттардың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теңсіз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тәсілмен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теңестіру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з-</w:t>
      </w:r>
      <w:proofErr w:type="gramEnd"/>
      <w:r>
        <w:rPr>
          <w:rFonts w:ascii="Arial" w:hAnsi="Arial" w:cs="Arial"/>
          <w:color w:val="000000"/>
          <w:sz w:val="21"/>
          <w:szCs w:val="21"/>
        </w:rPr>
        <w:t>өзіне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пәндерге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қағаз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парағына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бағдарлау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Сөйлеудің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дамуы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дыбыстарды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әнерлеп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асықпай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еркін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сөйлесуді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proofErr w:type="gram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сурет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5-6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сөйлемнен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әңгі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тәж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ірибесінен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әңгімелер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құрастыру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Ұсақ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мотрикасын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дамыту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қарындаш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пен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щетка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басу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қозғалысының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бағытын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өзгерту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парағында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сызықта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жолақта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орналастыру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контурдан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шықпастан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заттарды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штрихтау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бояу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тор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сызғ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дәптерге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бағдарлану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Үйрету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қоршаған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ортамен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таныстыру</w:t>
      </w:r>
      <w:proofErr w:type="spellEnd"/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аты-жөніңізді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ата-анаңыздың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аты-жөнін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Отанының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астанасының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іктің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мезгілін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күндерін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ЖЖЕ-менқолдану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F746D" w:rsidRDefault="001F746D" w:rsidP="001F746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7352E2" w:rsidRDefault="007352E2"/>
    <w:sectPr w:rsidR="007352E2" w:rsidSect="007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46D"/>
    <w:rsid w:val="001F746D"/>
    <w:rsid w:val="007352E2"/>
    <w:rsid w:val="00B5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46D"/>
    <w:rPr>
      <w:b/>
      <w:bCs/>
    </w:rPr>
  </w:style>
  <w:style w:type="character" w:styleId="a5">
    <w:name w:val="Emphasis"/>
    <w:basedOn w:val="a0"/>
    <w:uiPriority w:val="20"/>
    <w:qFormat/>
    <w:rsid w:val="001F7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 и Беркут</dc:creator>
  <cp:lastModifiedBy>Принцесса и Беркут</cp:lastModifiedBy>
  <cp:revision>1</cp:revision>
  <dcterms:created xsi:type="dcterms:W3CDTF">2019-05-20T03:23:00Z</dcterms:created>
  <dcterms:modified xsi:type="dcterms:W3CDTF">2019-05-20T03:24:00Z</dcterms:modified>
</cp:coreProperties>
</file>