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мектептерінде в</w:t>
      </w:r>
      <w:r w:rsidRPr="002D2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едомствоаралық </w:t>
      </w:r>
    </w:p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2D2F72">
        <w:rPr>
          <w:rFonts w:ascii="Times New Roman" w:hAnsi="Times New Roman" w:cs="Times New Roman"/>
          <w:b/>
          <w:sz w:val="28"/>
          <w:szCs w:val="28"/>
          <w:lang w:val="kk-KZ"/>
        </w:rPr>
        <w:t>араптама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2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атқарылған </w:t>
      </w:r>
    </w:p>
    <w:p w:rsidR="00161DE3" w:rsidRPr="002D2F72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F72">
        <w:rPr>
          <w:rFonts w:ascii="Times New Roman" w:hAnsi="Times New Roman" w:cs="Times New Roman"/>
          <w:b/>
          <w:sz w:val="28"/>
          <w:szCs w:val="28"/>
          <w:lang w:val="kk-KZ"/>
        </w:rPr>
        <w:t>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тары</w:t>
      </w:r>
      <w:r w:rsidRPr="002D2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есеп</w:t>
      </w:r>
    </w:p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3C3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жанында құрылған тамақтану сапасына мектеп бракераждық комиссиялардың қызметіне жүйелі мониторинг жүргізу және оқушылардың тамақтануын тиімді ұйымдастыру жөнінде шаралар қабылдау мақсаттарында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жылдың 19 желтоқсанда </w:t>
      </w:r>
      <w:r w:rsidRPr="007C13C3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 білім беру бөлімінің басшысының </w:t>
      </w:r>
      <w:r>
        <w:rPr>
          <w:rFonts w:ascii="Times New Roman" w:hAnsi="Times New Roman" w:cs="Times New Roman"/>
          <w:sz w:val="28"/>
          <w:lang w:val="kk-KZ"/>
        </w:rPr>
        <w:t xml:space="preserve">№ 1778/1 </w:t>
      </w:r>
      <w:r w:rsidRPr="007C13C3">
        <w:rPr>
          <w:rFonts w:ascii="Times New Roman" w:hAnsi="Times New Roman" w:cs="Times New Roman"/>
          <w:sz w:val="28"/>
          <w:szCs w:val="28"/>
          <w:lang w:val="kk-KZ"/>
        </w:rPr>
        <w:t xml:space="preserve">бұйрығымен ведомствоаралық сараптама тобы (ВСТ) құрылды. Сараптамалық топтың құрамына </w:t>
      </w: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</w:t>
      </w:r>
      <w:r w:rsidRPr="007C13C3">
        <w:rPr>
          <w:rFonts w:ascii="Times New Roman" w:hAnsi="Times New Roman" w:cs="Times New Roman"/>
          <w:sz w:val="28"/>
          <w:szCs w:val="28"/>
          <w:lang w:val="kk-KZ"/>
        </w:rPr>
        <w:t xml:space="preserve"> өкілдері, білім бөлімі қызметкерлері, «Нұр Отан» партиясы, Кәсіпкерлер Палатасының өкілдері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«Ирбис» телекомпаниясының корреспонденті </w:t>
      </w:r>
      <w:r w:rsidRPr="007C13C3">
        <w:rPr>
          <w:rFonts w:ascii="Times New Roman" w:hAnsi="Times New Roman" w:cs="Times New Roman"/>
          <w:sz w:val="28"/>
          <w:szCs w:val="28"/>
          <w:lang w:val="kk-KZ"/>
        </w:rPr>
        <w:t>кірді.</w:t>
      </w:r>
    </w:p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7BC"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Ведомствоаралық </w:t>
      </w:r>
      <w:r>
        <w:rPr>
          <w:rFonts w:ascii="Times New Roman" w:hAnsi="Times New Roman" w:cs="Times New Roman"/>
          <w:color w:val="000000"/>
          <w:sz w:val="28"/>
          <w:szCs w:val="27"/>
          <w:lang w:val="kk-KZ"/>
        </w:rPr>
        <w:t xml:space="preserve">сараптама </w:t>
      </w:r>
      <w:r w:rsidRPr="00F737BC">
        <w:rPr>
          <w:rFonts w:ascii="Times New Roman" w:hAnsi="Times New Roman" w:cs="Times New Roman"/>
          <w:color w:val="000000"/>
          <w:sz w:val="28"/>
          <w:szCs w:val="27"/>
          <w:lang w:val="kk-KZ"/>
        </w:rPr>
        <w:t>тобының жұмыс жоспарына сәйкес</w:t>
      </w:r>
      <w:r w:rsidRPr="00F737BC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E001B">
        <w:rPr>
          <w:rFonts w:ascii="Times New Roman" w:hAnsi="Times New Roman" w:cs="Times New Roman"/>
          <w:sz w:val="28"/>
          <w:szCs w:val="28"/>
          <w:lang w:val="kk-KZ"/>
        </w:rPr>
        <w:t>ыркүйек-желтоқсан айлары есепті кезеңде Павлодар қаласының 15 мектебінде бракеражды комисиялардың жұмысы мен есеп құжаттарын жү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ргізу, тамақтануды ұйымдастыру </w:t>
      </w:r>
      <w:r w:rsidRPr="004E001B">
        <w:rPr>
          <w:rFonts w:ascii="Times New Roman" w:hAnsi="Times New Roman" w:cs="Times New Roman"/>
          <w:sz w:val="28"/>
          <w:szCs w:val="28"/>
          <w:lang w:val="kk-KZ"/>
        </w:rPr>
        <w:t>мен бірыңғай стандарт талаптарына сәйкес тамақтану рационын, санитария</w:t>
      </w:r>
      <w:r>
        <w:rPr>
          <w:rFonts w:ascii="Times New Roman" w:hAnsi="Times New Roman" w:cs="Times New Roman"/>
          <w:sz w:val="28"/>
          <w:szCs w:val="28"/>
          <w:lang w:val="kk-KZ"/>
        </w:rPr>
        <w:t>лық талаптарды сақтау,</w:t>
      </w:r>
      <w:r w:rsidRPr="004E001B">
        <w:rPr>
          <w:rFonts w:ascii="Times New Roman" w:hAnsi="Times New Roman" w:cs="Times New Roman"/>
          <w:sz w:val="28"/>
          <w:szCs w:val="28"/>
          <w:lang w:val="kk-KZ"/>
        </w:rPr>
        <w:t xml:space="preserve"> мектептерде салауатты өмір салтын насихаттау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келесі бағыттар бойынша</w:t>
      </w:r>
      <w:r w:rsidRPr="00F737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001B">
        <w:rPr>
          <w:rFonts w:ascii="Times New Roman" w:hAnsi="Times New Roman" w:cs="Times New Roman"/>
          <w:sz w:val="28"/>
          <w:szCs w:val="28"/>
          <w:lang w:val="kk-KZ"/>
        </w:rPr>
        <w:t>мониторинг жүргізілді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1DE3" w:rsidRPr="00F737BC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37B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Рейд барысында мектептерде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гі</w:t>
      </w:r>
      <w:r w:rsidRPr="00F737B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оқушылар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 ыстық тамақпен қамтуына анализ жасалып</w:t>
      </w:r>
      <w:r w:rsidRPr="00F737BC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тамақтану рационының екі апталық ас мәзіріне санитарлық нормалар мен 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ежелер талаптарына сәйкестігі бағаланды</w:t>
      </w:r>
      <w:r w:rsidRPr="00F737BC">
        <w:rPr>
          <w:rFonts w:ascii="Times New Roman" w:hAnsi="Times New Roman" w:cs="Times New Roman"/>
          <w:color w:val="000000"/>
          <w:sz w:val="28"/>
          <w:szCs w:val="28"/>
          <w:lang w:val="kk-KZ"/>
        </w:rPr>
        <w:t>, ша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мамен рационның нақты сақталуы талдан</w:t>
      </w:r>
      <w:r w:rsidRPr="00F737BC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ды.</w:t>
      </w:r>
    </w:p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001B">
        <w:rPr>
          <w:rFonts w:ascii="Times New Roman" w:hAnsi="Times New Roman" w:cs="Times New Roman"/>
          <w:sz w:val="28"/>
          <w:szCs w:val="28"/>
          <w:lang w:val="kk-KZ"/>
        </w:rPr>
        <w:t>2019 жылғы білім беру бөлімінің жұмыс жоспарына сәйкес Павлодар қаласының мектептерінде тамақтандыруды ұйымдастыру сапасын зерттеу мақсатында 2019 жылғы 18-20 желтоқсан аралығында қала мектептерінде тамақтандыруды ұйымдастыру сапасы бойынша мониторинг ұйымдастырылды.</w:t>
      </w:r>
    </w:p>
    <w:p w:rsidR="00161DE3" w:rsidRPr="004E001B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сұрақ білім беру бөлімінің тұрақты бақылауында.</w:t>
      </w:r>
    </w:p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Бөлім басшысының           </w:t>
      </w:r>
      <w:r w:rsidRPr="00B2715D">
        <w:rPr>
          <w:rFonts w:ascii="Times New Roman" w:hAnsi="Times New Roman"/>
          <w:b/>
          <w:sz w:val="28"/>
          <w:szCs w:val="28"/>
          <w:lang w:val="kk-KZ"/>
        </w:rPr>
        <w:tab/>
      </w:r>
      <w:r w:rsidRPr="00B2715D">
        <w:rPr>
          <w:rFonts w:ascii="Times New Roman" w:hAnsi="Times New Roman"/>
          <w:b/>
          <w:sz w:val="28"/>
          <w:szCs w:val="28"/>
          <w:lang w:val="kk-KZ"/>
        </w:rPr>
        <w:tab/>
      </w:r>
      <w:r w:rsidRPr="00B2715D">
        <w:rPr>
          <w:rFonts w:ascii="Times New Roman" w:hAnsi="Times New Roman"/>
          <w:b/>
          <w:sz w:val="28"/>
          <w:szCs w:val="28"/>
          <w:lang w:val="kk-KZ"/>
        </w:rPr>
        <w:tab/>
      </w:r>
      <w:r w:rsidRPr="00B2715D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К</w:t>
      </w:r>
      <w:r w:rsidRPr="00B2715D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Кыдралин</w:t>
      </w:r>
    </w:p>
    <w:p w:rsidR="00161DE3" w:rsidRPr="00872BBC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val="kk-KZ"/>
        </w:rPr>
      </w:pPr>
      <w:r w:rsidRPr="00872BBC">
        <w:rPr>
          <w:rFonts w:ascii="Times New Roman" w:hAnsi="Times New Roman"/>
          <w:b/>
          <w:sz w:val="28"/>
          <w:szCs w:val="20"/>
          <w:lang w:val="kk-KZ"/>
        </w:rPr>
        <w:t>орынбасары</w:t>
      </w: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57727" w:rsidRPr="00161DE3" w:rsidRDefault="00161DE3" w:rsidP="00161DE3">
      <w:pPr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Орын: Ержанова,301491</w:t>
      </w:r>
      <w:bookmarkStart w:id="0" w:name="_GoBack"/>
      <w:bookmarkEnd w:id="0"/>
    </w:p>
    <w:sectPr w:rsidR="00657727" w:rsidRPr="0016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39"/>
    <w:rsid w:val="00161DE3"/>
    <w:rsid w:val="00657727"/>
    <w:rsid w:val="00A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2019-12-12T04:26:00Z</dcterms:created>
  <dcterms:modified xsi:type="dcterms:W3CDTF">2019-12-12T04:26:00Z</dcterms:modified>
</cp:coreProperties>
</file>