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702"/>
        <w:gridCol w:w="1467"/>
        <w:gridCol w:w="1486"/>
        <w:gridCol w:w="1764"/>
        <w:gridCol w:w="2535"/>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color w:val="000000"/>
                <w:sz w:val="24"/>
                <w:szCs w:val="24"/>
              </w:rPr>
              <w:t>2 ставкалар (1 ставка – 24 сағат)</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4" w:history="1">
              <w:r w:rsidRPr="009B650A">
                <w:rPr>
                  <w:rFonts w:ascii="Times New Roman" w:eastAsia="Calibri" w:hAnsi="Times New Roman" w:cs="Times New Roman"/>
                  <w:color w:val="0000FF"/>
                  <w:sz w:val="24"/>
                  <w:szCs w:val="24"/>
                  <w:u w:val="single"/>
                  <w:shd w:val="clear" w:color="auto" w:fill="FFFFFF"/>
                  <w:lang w:val="en-US"/>
                </w:rPr>
                <w:t>garden49@list.ru</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lastRenderedPageBreak/>
        <w:t>Конкурсты өткізу күні мен орны: 20.01-28.01.2022 жылдар аралығында.</w:t>
      </w:r>
      <w:r w:rsidRPr="009B650A">
        <w:rPr>
          <w:rFonts w:ascii="Times New Roman" w:eastAsia="Calibri" w:hAnsi="Times New Roman" w:cs="Times New Roman"/>
          <w:color w:val="000000"/>
          <w:sz w:val="24"/>
          <w:szCs w:val="24"/>
        </w:rPr>
        <w:t xml:space="preserve"> "Павлодар қаласы № 49 санаторлық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бақшасы" коммуналдық мемлекеттік қазыналық кәсіпорны, Павлодар қаласы, Вс көшесі.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59"/>
    <w:rsid w:val="00927359"/>
    <w:rsid w:val="009B650A"/>
    <w:rsid w:val="00A4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chartTrackingRefBased/>
  <w15:docId w15:val="{456AC41B-C885-424C-BF75-F7633A5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den49@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Смагулова Ж.А</cp:lastModifiedBy>
  <cp:revision>5</cp:revision>
  <dcterms:created xsi:type="dcterms:W3CDTF">2022-01-18T04:39:00Z</dcterms:created>
  <dcterms:modified xsi:type="dcterms:W3CDTF">2022-01-18T04:42:00Z</dcterms:modified>
</cp:coreProperties>
</file>