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EF54B2" w:rsidP="00DB4E62">
      <w:pPr>
        <w:pStyle w:val="a3"/>
        <w:spacing w:before="0" w:beforeAutospacing="0" w:after="0" w:afterAutospacing="0"/>
        <w:ind w:firstLine="709"/>
        <w:jc w:val="both"/>
      </w:pPr>
      <w:r>
        <w:rPr>
          <w:lang w:val="kk-KZ"/>
        </w:rPr>
        <w:t xml:space="preserve">12 </w:t>
      </w:r>
      <w:r w:rsidR="00DB4E62" w:rsidRPr="00004D0A">
        <w:t>-0</w:t>
      </w:r>
      <w:r w:rsidR="00C50A3F">
        <w:rPr>
          <w:lang w:val="kk-KZ"/>
        </w:rPr>
        <w:t>8</w:t>
      </w:r>
      <w:r w:rsidR="00DB4E62" w:rsidRPr="00004D0A">
        <w:t>-2022</w:t>
      </w:r>
      <w:r w:rsidR="00DB4E62">
        <w:rPr>
          <w:lang w:val="kk-KZ"/>
        </w:rPr>
        <w:t>ж,сағ</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6"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7"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8" w:anchor="z2" w:history="1">
        <w:r w:rsidRPr="00AF0D78">
          <w:rPr>
            <w:rStyle w:val="a5"/>
            <w:color w:val="073A5E"/>
            <w:spacing w:val="2"/>
            <w:lang w:val="kk-KZ"/>
          </w:rPr>
          <w:t>Білім туралы</w:t>
        </w:r>
      </w:hyperlink>
      <w:r w:rsidRPr="00AF0D78">
        <w:rPr>
          <w:color w:val="000000"/>
          <w:spacing w:val="2"/>
          <w:lang w:val="kk-KZ"/>
        </w:rPr>
        <w:t>", "</w:t>
      </w:r>
      <w:hyperlink r:id="rId9"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10"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1"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C50A3F"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 xml:space="preserve">"Үздік педагог" конкурсының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813EDE"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813EDE">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813EDE"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813EDE">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813EDE"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813EDE">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813EDE"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813EDE">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813EDE">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813EDE"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813EDE">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813EDE"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813EDE">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813EDE"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813EDE">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46953"/>
    <w:rsid w:val="00197B57"/>
    <w:rsid w:val="004A221A"/>
    <w:rsid w:val="006B7BE1"/>
    <w:rsid w:val="00732E18"/>
    <w:rsid w:val="007A6873"/>
    <w:rsid w:val="00813EDE"/>
    <w:rsid w:val="008E11F4"/>
    <w:rsid w:val="00AB7043"/>
    <w:rsid w:val="00C46953"/>
    <w:rsid w:val="00C50A3F"/>
    <w:rsid w:val="00DB4E62"/>
    <w:rsid w:val="00DD35FD"/>
    <w:rsid w:val="00EF5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sad6@goo.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2397</Words>
  <Characters>13665</Characters>
  <Application>Microsoft Office Word</Application>
  <DocSecurity>0</DocSecurity>
  <Lines>113</Lines>
  <Paragraphs>32</Paragraphs>
  <ScaleCrop>false</ScaleCrop>
  <Company>SPecialiST RePack</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9</cp:revision>
  <dcterms:created xsi:type="dcterms:W3CDTF">2022-07-12T11:41:00Z</dcterms:created>
  <dcterms:modified xsi:type="dcterms:W3CDTF">2022-08-11T04:22:00Z</dcterms:modified>
</cp:coreProperties>
</file>