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w:t>
      </w:r>
      <w:r w:rsidR="00E36228">
        <w:rPr>
          <w:rFonts w:ascii="Arial" w:hAnsi="Arial" w:cs="Arial"/>
          <w:b/>
          <w:color w:val="000000"/>
          <w:sz w:val="21"/>
          <w:szCs w:val="21"/>
          <w:lang w:val="kk-KZ"/>
        </w:rPr>
        <w:t xml:space="preserve">және қазақ тілінде </w:t>
      </w:r>
      <w:r w:rsidR="00A572CE">
        <w:rPr>
          <w:rFonts w:ascii="Arial" w:hAnsi="Arial" w:cs="Arial"/>
          <w:b/>
          <w:color w:val="000000"/>
          <w:sz w:val="21"/>
          <w:szCs w:val="21"/>
          <w:lang w:val="kk-KZ"/>
        </w:rPr>
        <w:t xml:space="preserve">оқытатын </w:t>
      </w:r>
      <w:r w:rsidR="00C52F2C">
        <w:rPr>
          <w:rFonts w:ascii="Arial" w:hAnsi="Arial" w:cs="Arial"/>
          <w:b/>
          <w:color w:val="000000"/>
          <w:sz w:val="21"/>
          <w:szCs w:val="21"/>
          <w:lang w:val="kk-KZ"/>
        </w:rPr>
        <w:t xml:space="preserve">педагог-психолог </w:t>
      </w:r>
      <w:r w:rsidR="00A572CE">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36228"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E36228"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E36228"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E36228"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Педагог-психолог</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E36228"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аланың құқықтарын қорғау жөніндегі Конвенцияға сәйкес жеке адамның құқықтарын қорғауға жәрдемдеседі.</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2C7F99">
              <w:rPr>
                <w:rFonts w:ascii="Arial" w:eastAsia="Times New Roman" w:hAnsi="Arial" w:cs="Arial"/>
                <w:bCs/>
                <w:sz w:val="21"/>
                <w:szCs w:val="21"/>
                <w:lang w:val="kk-KZ"/>
              </w:rPr>
              <w:t>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w:t>
            </w:r>
            <w:r w:rsidRPr="002C7F99">
              <w:rPr>
                <w:rFonts w:ascii="Arial" w:eastAsia="Times New Roman" w:hAnsi="Arial" w:cs="Arial"/>
                <w:bCs/>
                <w:sz w:val="21"/>
                <w:szCs w:val="21"/>
                <w:lang w:val="kk-KZ"/>
              </w:rPr>
              <w:t>р түрлі бейіндегі және арналуындағы психологиялық диагностика жүргізеді.</w:t>
            </w:r>
          </w:p>
          <w:p w:rsid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w:t>
            </w:r>
            <w:r w:rsidRPr="002C7F99">
              <w:rPr>
                <w:rFonts w:ascii="Arial" w:eastAsia="Times New Roman" w:hAnsi="Arial" w:cs="Arial"/>
                <w:bCs/>
                <w:sz w:val="21"/>
                <w:szCs w:val="21"/>
                <w:lang w:val="kk-KZ"/>
              </w:rPr>
              <w:t>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sidRPr="002C7F99">
              <w:rPr>
                <w:rFonts w:ascii="Arial" w:eastAsia="Times New Roman" w:hAnsi="Arial" w:cs="Arial"/>
                <w:bCs/>
                <w:sz w:val="21"/>
                <w:szCs w:val="21"/>
                <w:lang w:val="kk-KZ"/>
              </w:rPr>
              <w:tab/>
              <w:t>даму</w:t>
            </w:r>
            <w:r w:rsidRPr="002C7F99">
              <w:rPr>
                <w:rFonts w:ascii="Arial" w:eastAsia="Times New Roman" w:hAnsi="Arial" w:cs="Arial"/>
                <w:bCs/>
                <w:sz w:val="21"/>
                <w:szCs w:val="21"/>
                <w:lang w:val="kk-KZ"/>
              </w:rPr>
              <w:tab/>
              <w:t>мәселелерінде</w:t>
            </w:r>
          </w:p>
          <w:p w:rsidR="002C7F99" w:rsidRPr="002C7F99"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бағдарлау</w:t>
            </w:r>
            <w:r w:rsidRPr="002C7F99">
              <w:rPr>
                <w:rFonts w:ascii="Arial" w:eastAsia="Times New Roman" w:hAnsi="Arial" w:cs="Arial"/>
                <w:bCs/>
                <w:sz w:val="21"/>
                <w:szCs w:val="21"/>
                <w:lang w:val="kk-KZ"/>
              </w:rPr>
              <w:tab/>
              <w:t>мақсатында</w:t>
            </w:r>
            <w:r w:rsidRPr="002C7F99">
              <w:rPr>
                <w:rFonts w:ascii="Arial" w:eastAsia="Times New Roman" w:hAnsi="Arial" w:cs="Arial"/>
                <w:bCs/>
                <w:sz w:val="21"/>
                <w:szCs w:val="21"/>
                <w:lang w:val="kk-KZ"/>
              </w:rPr>
              <w:tab/>
              <w:t>зерттеу</w:t>
            </w:r>
            <w:r w:rsidRPr="002C7F99">
              <w:rPr>
                <w:rFonts w:ascii="Arial" w:eastAsia="Times New Roman" w:hAnsi="Arial" w:cs="Arial"/>
                <w:bCs/>
                <w:sz w:val="21"/>
                <w:szCs w:val="21"/>
                <w:lang w:val="kk-KZ"/>
              </w:rPr>
              <w:tab/>
              <w:t>жұмыстарының материалдары</w:t>
            </w:r>
            <w:r>
              <w:rPr>
                <w:rFonts w:ascii="Arial" w:eastAsia="Times New Roman" w:hAnsi="Arial" w:cs="Arial"/>
                <w:bCs/>
                <w:sz w:val="21"/>
                <w:szCs w:val="21"/>
                <w:lang w:val="kk-KZ"/>
              </w:rPr>
              <w:t xml:space="preserve"> </w:t>
            </w:r>
            <w:r w:rsidRPr="002C7F99">
              <w:rPr>
                <w:rFonts w:ascii="Arial" w:eastAsia="Times New Roman" w:hAnsi="Arial" w:cs="Arial"/>
                <w:bCs/>
                <w:sz w:val="21"/>
                <w:szCs w:val="21"/>
                <w:lang w:val="kk-KZ"/>
              </w:rPr>
              <w:t>бойынша</w:t>
            </w:r>
            <w:r w:rsidRPr="002C7F99">
              <w:rPr>
                <w:rFonts w:ascii="Arial" w:eastAsia="Times New Roman" w:hAnsi="Arial" w:cs="Arial"/>
                <w:bCs/>
                <w:sz w:val="21"/>
                <w:szCs w:val="21"/>
                <w:lang w:val="kk-KZ"/>
              </w:rPr>
              <w:tab/>
              <w:t>психологиялық-педагогикалық</w:t>
            </w:r>
            <w:r w:rsidRPr="002C7F99">
              <w:rPr>
                <w:rFonts w:ascii="Arial" w:eastAsia="Times New Roman" w:hAnsi="Arial" w:cs="Arial"/>
                <w:bCs/>
                <w:sz w:val="21"/>
                <w:szCs w:val="21"/>
                <w:lang w:val="kk-KZ"/>
              </w:rPr>
              <w:tab/>
            </w:r>
            <w:r w:rsidRPr="002C7F99">
              <w:rPr>
                <w:rFonts w:ascii="Arial" w:eastAsia="Times New Roman" w:hAnsi="Arial" w:cs="Arial"/>
                <w:bCs/>
                <w:sz w:val="21"/>
                <w:szCs w:val="21"/>
                <w:lang w:val="kk-KZ"/>
              </w:rPr>
              <w:tab/>
              <w:t>қорытынды</w:t>
            </w:r>
            <w:r w:rsidRPr="002C7F99">
              <w:rPr>
                <w:rFonts w:ascii="Arial" w:eastAsia="Times New Roman" w:hAnsi="Arial" w:cs="Arial"/>
                <w:bCs/>
                <w:sz w:val="21"/>
                <w:szCs w:val="21"/>
                <w:lang w:val="kk-KZ"/>
              </w:rPr>
              <w:tab/>
              <w:t>жасайды. Белгіленген нысан бойынша құжаттаманы жүргізеді.</w:t>
            </w:r>
          </w:p>
          <w:p w:rsidR="004F2A50" w:rsidRPr="00B3089F" w:rsidRDefault="002C7F99" w:rsidP="002C7F99">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C7F99">
              <w:rPr>
                <w:rFonts w:ascii="Arial" w:eastAsia="Times New Roman" w:hAnsi="Arial" w:cs="Arial"/>
                <w:bCs/>
                <w:sz w:val="21"/>
                <w:szCs w:val="21"/>
                <w:lang w:val="kk-KZ"/>
              </w:rPr>
              <w:t>Инклюзивті білім беру қағидасын дамытады.</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E3622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E36228">
              <w:rPr>
                <w:rFonts w:ascii="Arial" w:eastAsia="Times New Roman" w:hAnsi="Arial" w:cs="Arial"/>
                <w:b/>
                <w:bCs/>
                <w:sz w:val="24"/>
                <w:szCs w:val="21"/>
                <w:lang w:val="kk-KZ"/>
              </w:rPr>
              <w:t>1</w:t>
            </w:r>
            <w:r w:rsidR="00026600">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.0</w:t>
            </w:r>
            <w:r w:rsidR="00E36228">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E36228">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E36228">
              <w:rPr>
                <w:rFonts w:ascii="Arial" w:eastAsia="Times New Roman" w:hAnsi="Arial" w:cs="Arial"/>
                <w:b/>
                <w:bCs/>
                <w:sz w:val="24"/>
                <w:szCs w:val="21"/>
                <w:lang w:val="kk-KZ"/>
              </w:rPr>
              <w:t>9</w:t>
            </w:r>
            <w:bookmarkStart w:id="0" w:name="_GoBack"/>
            <w:bookmarkEnd w:id="0"/>
          </w:p>
        </w:tc>
      </w:tr>
      <w:tr w:rsidR="00B3089F" w:rsidRPr="00E3622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 xml:space="preserve">инистрі міндеттерін атқарушысының 2020 жылғы </w:t>
            </w:r>
            <w:r w:rsidR="00DF533F">
              <w:rPr>
                <w:rFonts w:ascii="Arial" w:eastAsia="Times New Roman" w:hAnsi="Arial" w:cs="Arial"/>
                <w:bCs/>
                <w:sz w:val="21"/>
                <w:szCs w:val="21"/>
                <w:lang w:val="kk-KZ"/>
              </w:rPr>
              <w:lastRenderedPageBreak/>
              <w:t>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lastRenderedPageBreak/>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36228"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E36228"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36228"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lastRenderedPageBreak/>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11A7"/>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36228"/>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DBD"/>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BE71-4F2D-465B-891D-87DB7EBB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2022-09-12T04:56:00Z</dcterms:modified>
</cp:coreProperties>
</file>