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5F598B" w:rsidRPr="005F598B">
        <w:rPr>
          <w:rFonts w:ascii="Times New Roman" w:eastAsia="Times New Roman" w:hAnsi="Times New Roman" w:cs="Times New Roman"/>
          <w:b/>
          <w:bCs/>
          <w:color w:val="000000"/>
          <w:sz w:val="24"/>
          <w:szCs w:val="24"/>
          <w:u w:val="single"/>
          <w:lang w:val="kk-KZ"/>
        </w:rPr>
        <w:t>орыс</w:t>
      </w:r>
      <w:r w:rsidR="009C0DE2" w:rsidRPr="005F598B">
        <w:rPr>
          <w:rFonts w:ascii="Times New Roman" w:eastAsia="Times New Roman" w:hAnsi="Times New Roman" w:cs="Times New Roman"/>
          <w:b/>
          <w:bCs/>
          <w:color w:val="000000"/>
          <w:sz w:val="24"/>
          <w:szCs w:val="24"/>
          <w:u w:val="single"/>
          <w:lang w:val="kk-KZ"/>
        </w:rPr>
        <w:t xml:space="preserve"> тілі</w:t>
      </w:r>
      <w:r w:rsidR="00B00AEE" w:rsidRPr="005F598B">
        <w:rPr>
          <w:rFonts w:ascii="Times New Roman" w:eastAsia="Times New Roman" w:hAnsi="Times New Roman" w:cs="Times New Roman"/>
          <w:b/>
          <w:bCs/>
          <w:color w:val="000000"/>
          <w:sz w:val="24"/>
          <w:szCs w:val="24"/>
          <w:u w:val="single"/>
          <w:lang w:val="kk-KZ"/>
        </w:rPr>
        <w:t xml:space="preserve"> </w:t>
      </w:r>
      <w:r w:rsidR="000826D6" w:rsidRPr="005F598B">
        <w:rPr>
          <w:rFonts w:ascii="Times New Roman" w:eastAsia="Times New Roman" w:hAnsi="Times New Roman" w:cs="Times New Roman"/>
          <w:b/>
          <w:bCs/>
          <w:color w:val="000000"/>
          <w:sz w:val="24"/>
          <w:szCs w:val="24"/>
          <w:u w:val="single"/>
          <w:lang w:val="kk-KZ"/>
        </w:rPr>
        <w:t xml:space="preserve">мен әдебиеті </w:t>
      </w:r>
      <w:r w:rsidR="00B00AEE" w:rsidRPr="005F598B">
        <w:rPr>
          <w:rFonts w:ascii="Times New Roman" w:eastAsia="Times New Roman" w:hAnsi="Times New Roman" w:cs="Times New Roman"/>
          <w:b/>
          <w:bCs/>
          <w:color w:val="000000"/>
          <w:sz w:val="24"/>
          <w:szCs w:val="24"/>
          <w:u w:val="single"/>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5A226E"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5A226E"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6055C1">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орыс</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мен әдебиеті мұғалімі, 2</w:t>
            </w:r>
            <w:r w:rsidR="006055C1">
              <w:rPr>
                <w:rFonts w:ascii="Times New Roman" w:eastAsia="Times New Roman" w:hAnsi="Times New Roman" w:cs="Times New Roman"/>
                <w:bCs/>
                <w:sz w:val="24"/>
                <w:szCs w:val="24"/>
                <w:lang w:val="kk-KZ"/>
              </w:rPr>
              <w:t>4</w:t>
            </w:r>
            <w:r w:rsidRPr="007B30E7">
              <w:rPr>
                <w:rFonts w:ascii="Times New Roman" w:eastAsia="Times New Roman" w:hAnsi="Times New Roman" w:cs="Times New Roman"/>
                <w:bCs/>
                <w:sz w:val="24"/>
                <w:szCs w:val="24"/>
                <w:lang w:val="kk-KZ"/>
              </w:rPr>
              <w:t xml:space="preserve"> сағат</w:t>
            </w:r>
          </w:p>
        </w:tc>
      </w:tr>
      <w:tr w:rsidR="007B30E7" w:rsidRPr="005A226E"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5A226E"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6055C1">
              <w:rPr>
                <w:rFonts w:ascii="Times New Roman" w:hAnsi="Times New Roman" w:cs="Times New Roman"/>
                <w:color w:val="000000"/>
                <w:sz w:val="24"/>
                <w:szCs w:val="24"/>
                <w:lang w:val="kk-KZ"/>
              </w:rPr>
              <w:t>300</w:t>
            </w:r>
            <w:r w:rsidR="005F598B">
              <w:rPr>
                <w:rFonts w:ascii="Times New Roman" w:hAnsi="Times New Roman" w:cs="Times New Roman"/>
                <w:color w:val="000000"/>
                <w:sz w:val="24"/>
                <w:szCs w:val="24"/>
                <w:lang w:val="kk-KZ"/>
              </w:rPr>
              <w:t>840</w:t>
            </w:r>
            <w:r w:rsidR="00015F19">
              <w:rPr>
                <w:rFonts w:ascii="Times New Roman" w:hAnsi="Times New Roman" w:cs="Times New Roman"/>
                <w:color w:val="000000"/>
                <w:sz w:val="24"/>
                <w:szCs w:val="24"/>
                <w:lang w:val="kk-KZ"/>
              </w:rPr>
              <w:t xml:space="preserve"> теңге</w:t>
            </w:r>
          </w:p>
          <w:p w:rsidR="007B30E7" w:rsidRPr="007B30E7" w:rsidRDefault="007B30E7" w:rsidP="006055C1">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6055C1">
              <w:rPr>
                <w:rFonts w:ascii="Times New Roman" w:hAnsi="Times New Roman" w:cs="Times New Roman"/>
                <w:color w:val="000000"/>
                <w:sz w:val="24"/>
                <w:szCs w:val="24"/>
                <w:lang w:val="kk-KZ"/>
              </w:rPr>
              <w:t>360019</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5A226E"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5A226E" w:rsidP="005A226E">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26.10 - 0</w:t>
            </w:r>
            <w:r w:rsidR="005F598B">
              <w:rPr>
                <w:rFonts w:ascii="Times New Roman" w:eastAsia="Times New Roman" w:hAnsi="Times New Roman" w:cs="Times New Roman"/>
                <w:b/>
                <w:bCs/>
                <w:color w:val="000000"/>
                <w:sz w:val="24"/>
                <w:szCs w:val="24"/>
                <w:lang w:val="kk-KZ"/>
              </w:rPr>
              <w:t>3</w:t>
            </w:r>
            <w:r w:rsidR="00CC644F">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r w:rsidR="007B30E7" w:rsidRPr="007B30E7">
              <w:rPr>
                <w:rFonts w:ascii="Times New Roman" w:eastAsia="Times New Roman" w:hAnsi="Times New Roman" w:cs="Times New Roman"/>
                <w:b/>
                <w:bCs/>
                <w:color w:val="000000"/>
                <w:sz w:val="24"/>
                <w:szCs w:val="24"/>
                <w:lang w:val="kk-KZ"/>
              </w:rPr>
              <w:t>.2022ж.</w:t>
            </w:r>
          </w:p>
        </w:tc>
      </w:tr>
      <w:tr w:rsidR="007B30E7" w:rsidRPr="005A226E"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5A226E" w:rsidP="005A226E">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07</w:t>
            </w:r>
            <w:r w:rsidR="00CC644F">
              <w:rPr>
                <w:rFonts w:ascii="Times New Roman" w:eastAsia="Times New Roman" w:hAnsi="Times New Roman" w:cs="Times New Roman"/>
                <w:bCs/>
                <w:color w:val="000000"/>
                <w:sz w:val="24"/>
                <w:szCs w:val="24"/>
                <w:lang w:val="kk-KZ"/>
              </w:rPr>
              <w:t>.1</w:t>
            </w:r>
            <w:r>
              <w:rPr>
                <w:rFonts w:ascii="Times New Roman" w:eastAsia="Times New Roman" w:hAnsi="Times New Roman" w:cs="Times New Roman"/>
                <w:bCs/>
                <w:color w:val="000000"/>
                <w:sz w:val="24"/>
                <w:szCs w:val="24"/>
                <w:lang w:val="kk-KZ"/>
              </w:rPr>
              <w:t>1</w:t>
            </w:r>
            <w:bookmarkStart w:id="0" w:name="_GoBack"/>
            <w:bookmarkEnd w:id="0"/>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5A226E"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5A226E"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5A226E"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265D4"/>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226E"/>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598B"/>
    <w:rsid w:val="005F64A7"/>
    <w:rsid w:val="005F6C95"/>
    <w:rsid w:val="00602344"/>
    <w:rsid w:val="00602932"/>
    <w:rsid w:val="00604AF0"/>
    <w:rsid w:val="006055C1"/>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0C6A"/>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24C8-A6B3-42BF-BAD8-64B5BF87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2022-10-27T09:09:00Z</dcterms:created>
  <dcterms:modified xsi:type="dcterms:W3CDTF">2022-10-27T09:09:00Z</dcterms:modified>
</cp:coreProperties>
</file>