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D27291">
        <w:rPr>
          <w:rFonts w:ascii="Arial" w:hAnsi="Arial" w:cs="Arial"/>
          <w:b/>
          <w:color w:val="000000"/>
          <w:sz w:val="21"/>
          <w:szCs w:val="21"/>
          <w:lang w:val="kk-KZ"/>
        </w:rPr>
        <w:t xml:space="preserve"> уақытша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C57041"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8849A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w:t>
            </w:r>
            <w:r w:rsidR="006F4376">
              <w:rPr>
                <w:rFonts w:ascii="Times New Roman" w:eastAsia="Times New Roman" w:hAnsi="Times New Roman" w:cs="Times New Roman"/>
                <w:bCs/>
                <w:sz w:val="24"/>
                <w:szCs w:val="24"/>
                <w:lang w:val="kk-KZ"/>
              </w:rPr>
              <w:t>нформатика</w:t>
            </w:r>
            <w:r>
              <w:rPr>
                <w:rFonts w:ascii="Times New Roman" w:eastAsia="Times New Roman" w:hAnsi="Times New Roman" w:cs="Times New Roman"/>
                <w:bCs/>
                <w:sz w:val="24"/>
                <w:szCs w:val="24"/>
                <w:lang w:val="kk-KZ"/>
              </w:rPr>
              <w:t xml:space="preserve"> 16</w:t>
            </w:r>
            <w:r w:rsidR="00782E85">
              <w:rPr>
                <w:rFonts w:ascii="Times New Roman" w:eastAsia="Times New Roman" w:hAnsi="Times New Roman" w:cs="Times New Roman"/>
                <w:bCs/>
                <w:sz w:val="24"/>
                <w:szCs w:val="24"/>
                <w:lang w:val="kk-KZ"/>
              </w:rPr>
              <w:t xml:space="preserve"> сағат</w:t>
            </w:r>
          </w:p>
        </w:tc>
      </w:tr>
      <w:tr w:rsidR="00261EAA" w:rsidRPr="00C57041"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C57041"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17.05</w:t>
            </w:r>
            <w:r w:rsidR="00974D92">
              <w:rPr>
                <w:rFonts w:ascii="Times New Roman" w:eastAsia="Times New Roman" w:hAnsi="Times New Roman" w:cs="Times New Roman"/>
                <w:bCs/>
                <w:sz w:val="24"/>
                <w:szCs w:val="24"/>
                <w:lang w:val="kk-KZ"/>
              </w:rPr>
              <w:t>.2023</w:t>
            </w:r>
            <w:r>
              <w:rPr>
                <w:rFonts w:ascii="Times New Roman" w:eastAsia="Times New Roman" w:hAnsi="Times New Roman" w:cs="Times New Roman"/>
                <w:bCs/>
                <w:sz w:val="24"/>
                <w:szCs w:val="24"/>
                <w:lang w:val="kk-KZ"/>
              </w:rPr>
              <w:t xml:space="preserve"> ж.- 2</w:t>
            </w:r>
            <w:bookmarkStart w:id="0" w:name="_GoBack"/>
            <w:bookmarkEnd w:id="0"/>
            <w:r w:rsidR="00BA5D05">
              <w:rPr>
                <w:rFonts w:ascii="Times New Roman" w:eastAsia="Times New Roman" w:hAnsi="Times New Roman" w:cs="Times New Roman"/>
                <w:bCs/>
                <w:sz w:val="24"/>
                <w:szCs w:val="24"/>
                <w:lang w:val="kk-KZ"/>
              </w:rPr>
              <w:t>5.05</w:t>
            </w:r>
            <w:r w:rsidR="009651C1">
              <w:rPr>
                <w:rFonts w:ascii="Times New Roman" w:eastAsia="Times New Roman" w:hAnsi="Times New Roman" w:cs="Times New Roman"/>
                <w:bCs/>
                <w:sz w:val="24"/>
                <w:szCs w:val="24"/>
                <w:lang w:val="kk-KZ"/>
              </w:rPr>
              <w:t>.2023</w:t>
            </w:r>
            <w:r w:rsidR="00A80D1A">
              <w:rPr>
                <w:rFonts w:ascii="Times New Roman" w:eastAsia="Times New Roman" w:hAnsi="Times New Roman" w:cs="Times New Roman"/>
                <w:bCs/>
                <w:sz w:val="24"/>
                <w:szCs w:val="24"/>
                <w:lang w:val="kk-KZ"/>
              </w:rPr>
              <w:t xml:space="preserve"> ж.</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w:t>
            </w:r>
            <w:proofErr w:type="gramStart"/>
            <w:r w:rsidR="002837ED" w:rsidRPr="004A66DF">
              <w:rPr>
                <w:rFonts w:ascii="Times New Roman" w:hAnsi="Times New Roman"/>
                <w:b/>
                <w:bCs/>
                <w:sz w:val="24"/>
                <w:szCs w:val="24"/>
              </w:rPr>
              <w:t>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proofErr w:type="gram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w:t>
            </w:r>
            <w:proofErr w:type="gramStart"/>
            <w:r w:rsidR="009025AD" w:rsidRPr="009025AD">
              <w:rPr>
                <w:rFonts w:ascii="Times New Roman" w:hAnsi="Times New Roman" w:cs="Times New Roman"/>
                <w:color w:val="000000"/>
                <w:spacing w:val="2"/>
                <w:sz w:val="24"/>
                <w:szCs w:val="24"/>
                <w:shd w:val="clear" w:color="auto" w:fill="FFFFFF"/>
              </w:rPr>
              <w:t>Р</w:t>
            </w:r>
            <w:proofErr w:type="gramEnd"/>
            <w:r w:rsidR="009025AD" w:rsidRPr="009025AD">
              <w:rPr>
                <w:rFonts w:ascii="Times New Roman" w:hAnsi="Times New Roman" w:cs="Times New Roman"/>
                <w:color w:val="000000"/>
                <w:spacing w:val="2"/>
                <w:sz w:val="24"/>
                <w:szCs w:val="24"/>
                <w:shd w:val="clear" w:color="auto" w:fill="FFFFFF"/>
              </w:rPr>
              <w:t xml:space="preserve"> ДСМ-175/2020 </w:t>
            </w:r>
            <w:hyperlink r:id="rId7" w:anchor="z2" w:history="1">
              <w:proofErr w:type="spellStart"/>
              <w:r w:rsidR="009025AD" w:rsidRPr="009025AD">
                <w:rPr>
                  <w:rFonts w:ascii="Times New Roman" w:hAnsi="Times New Roman" w:cs="Times New Roman"/>
                  <w:color w:val="073A5E"/>
                  <w:spacing w:val="2"/>
                  <w:sz w:val="24"/>
                  <w:szCs w:val="24"/>
                  <w:u w:val="single"/>
                  <w:shd w:val="clear" w:color="auto" w:fill="FFFFFF"/>
                </w:rPr>
                <w:t>бұйрығымен</w:t>
              </w:r>
              <w:proofErr w:type="spellEnd"/>
            </w:hyperlink>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w:t>
            </w:r>
            <w:proofErr w:type="gramStart"/>
            <w:r w:rsidR="009025AD" w:rsidRPr="009025AD">
              <w:rPr>
                <w:rFonts w:ascii="Times New Roman" w:hAnsi="Times New Roman" w:cs="Times New Roman"/>
                <w:color w:val="000000"/>
                <w:spacing w:val="2"/>
                <w:sz w:val="24"/>
                <w:szCs w:val="24"/>
                <w:shd w:val="clear" w:color="auto" w:fill="FFFFFF"/>
              </w:rPr>
              <w:t>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roofErr w:type="gramEnd"/>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009025AD" w:rsidRPr="009025AD">
              <w:rPr>
                <w:rFonts w:ascii="Times New Roman" w:hAnsi="Times New Roman"/>
                <w:sz w:val="24"/>
                <w:szCs w:val="24"/>
                <w:lang w:val="kk-KZ"/>
              </w:rPr>
              <w:t>л</w:t>
            </w:r>
            <w:proofErr w:type="gramEnd"/>
            <w:r w:rsidR="009025AD" w:rsidRPr="009025AD">
              <w:rPr>
                <w:rFonts w:ascii="Times New Roman" w:hAnsi="Times New Roman"/>
                <w:sz w:val="24"/>
                <w:szCs w:val="24"/>
                <w:lang w:val="kk-KZ"/>
              </w:rPr>
              <w:t>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11-қ</w:t>
            </w:r>
            <w:proofErr w:type="gramStart"/>
            <w:r w:rsidR="009025AD" w:rsidRPr="009025AD">
              <w:rPr>
                <w:rFonts w:ascii="Times New Roman" w:hAnsi="Times New Roman"/>
                <w:sz w:val="24"/>
                <w:szCs w:val="24"/>
                <w:lang w:val="kk-KZ"/>
              </w:rPr>
              <w:t>осымша</w:t>
            </w:r>
            <w:proofErr w:type="gramEnd"/>
            <w:r w:rsidR="009025AD"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C57041"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C57041"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80D1A"/>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5D05"/>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57041"/>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657E9-5088-4140-B864-821357B1D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22</cp:revision>
  <cp:lastPrinted>2022-08-01T04:53:00Z</cp:lastPrinted>
  <dcterms:created xsi:type="dcterms:W3CDTF">2022-11-01T04:30:00Z</dcterms:created>
  <dcterms:modified xsi:type="dcterms:W3CDTF">2023-05-17T10:28:00Z</dcterms:modified>
</cp:coreProperties>
</file>