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F72A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тәлімгер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6A6189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4F72A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6A6189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6A6189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6A6189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24.10 – 2.11.23</w:t>
            </w:r>
          </w:p>
        </w:tc>
      </w:tr>
      <w:tr w:rsidR="00B1578A" w:rsidRPr="006A6189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18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18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18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6A6189" w:rsidRDefault="00437A2D" w:rsidP="00452A41">
      <w:pPr>
        <w:spacing w:after="0" w:line="240" w:lineRule="auto"/>
        <w:rPr>
          <w:sz w:val="28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 w:rsidRPr="006A6189">
        <w:rPr>
          <w:rFonts w:ascii="Arial" w:hAnsi="Arial" w:cs="Arial"/>
          <w:i/>
          <w:sz w:val="20"/>
          <w:szCs w:val="20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6A6189" w:rsidRDefault="00437A2D" w:rsidP="006A6189">
      <w:pPr>
        <w:spacing w:after="0" w:line="240" w:lineRule="auto"/>
        <w:jc w:val="right"/>
        <w:rPr>
          <w:sz w:val="24"/>
          <w:szCs w:val="24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  <w:r w:rsidR="006A6189" w:rsidRPr="00DA4203">
        <w:rPr>
          <w:rFonts w:ascii="Times New Roman" w:hAnsi="Times New Roman" w:cs="Times New Roman"/>
          <w:sz w:val="24"/>
          <w:szCs w:val="24"/>
        </w:rPr>
        <w:t>Приложение 16</w:t>
      </w:r>
      <w:r w:rsidR="006A6189" w:rsidRPr="00DA4203">
        <w:rPr>
          <w:rFonts w:ascii="Times New Roman" w:hAnsi="Times New Roman" w:cs="Times New Roman"/>
          <w:sz w:val="24"/>
          <w:szCs w:val="24"/>
        </w:rPr>
        <w:br/>
        <w:t>к Правилам назначения</w:t>
      </w:r>
      <w:r w:rsidR="006A6189">
        <w:rPr>
          <w:sz w:val="24"/>
          <w:szCs w:val="24"/>
        </w:rPr>
        <w:t xml:space="preserve"> </w:t>
      </w:r>
      <w:r w:rsidR="006A6189" w:rsidRPr="00DA4203">
        <w:rPr>
          <w:rFonts w:ascii="Times New Roman" w:hAnsi="Times New Roman" w:cs="Times New Roman"/>
          <w:sz w:val="24"/>
          <w:szCs w:val="24"/>
        </w:rPr>
        <w:t>на должности,</w:t>
      </w:r>
    </w:p>
    <w:p w:rsidR="006A6189" w:rsidRDefault="006A6189" w:rsidP="006A6189">
      <w:pPr>
        <w:spacing w:after="0" w:line="240" w:lineRule="auto"/>
        <w:jc w:val="right"/>
        <w:rPr>
          <w:sz w:val="24"/>
          <w:szCs w:val="24"/>
        </w:rPr>
      </w:pPr>
      <w:r w:rsidRPr="00DA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A4203">
        <w:rPr>
          <w:rFonts w:ascii="Times New Roman" w:hAnsi="Times New Roman" w:cs="Times New Roman"/>
          <w:sz w:val="24"/>
          <w:szCs w:val="24"/>
        </w:rPr>
        <w:t>свобождения</w:t>
      </w:r>
      <w:r>
        <w:rPr>
          <w:sz w:val="24"/>
          <w:szCs w:val="24"/>
        </w:rPr>
        <w:t xml:space="preserve"> </w:t>
      </w:r>
      <w:r w:rsidRPr="00DA4203">
        <w:rPr>
          <w:rFonts w:ascii="Times New Roman" w:hAnsi="Times New Roman" w:cs="Times New Roman"/>
          <w:sz w:val="24"/>
          <w:szCs w:val="24"/>
        </w:rPr>
        <w:t>от должностей первых</w:t>
      </w:r>
      <w:r>
        <w:rPr>
          <w:sz w:val="24"/>
          <w:szCs w:val="24"/>
        </w:rPr>
        <w:t xml:space="preserve"> </w:t>
      </w:r>
    </w:p>
    <w:p w:rsidR="006A6189" w:rsidRDefault="006A6189" w:rsidP="006A6189">
      <w:pPr>
        <w:spacing w:after="0" w:line="240" w:lineRule="auto"/>
        <w:jc w:val="right"/>
        <w:rPr>
          <w:sz w:val="24"/>
          <w:szCs w:val="24"/>
        </w:rPr>
      </w:pPr>
      <w:r w:rsidRPr="00DA4203">
        <w:rPr>
          <w:rFonts w:ascii="Times New Roman" w:hAnsi="Times New Roman" w:cs="Times New Roman"/>
          <w:sz w:val="24"/>
          <w:szCs w:val="24"/>
        </w:rPr>
        <w:t>руководителей и педагогов</w:t>
      </w:r>
    </w:p>
    <w:p w:rsidR="006A6189" w:rsidRDefault="006A6189" w:rsidP="006A6189">
      <w:pPr>
        <w:spacing w:after="0" w:line="240" w:lineRule="auto"/>
        <w:jc w:val="right"/>
        <w:rPr>
          <w:sz w:val="24"/>
          <w:szCs w:val="24"/>
        </w:rPr>
      </w:pPr>
      <w:r w:rsidRPr="00DA4203">
        <w:rPr>
          <w:rFonts w:ascii="Times New Roman" w:hAnsi="Times New Roman" w:cs="Times New Roman"/>
          <w:sz w:val="24"/>
          <w:szCs w:val="24"/>
        </w:rPr>
        <w:t>государственных организаций</w:t>
      </w:r>
    </w:p>
    <w:p w:rsidR="006A6189" w:rsidRDefault="006A6189" w:rsidP="006A6189">
      <w:pPr>
        <w:spacing w:after="0" w:line="240" w:lineRule="auto"/>
        <w:jc w:val="right"/>
        <w:rPr>
          <w:sz w:val="24"/>
          <w:szCs w:val="24"/>
        </w:rPr>
      </w:pPr>
      <w:r w:rsidRPr="00DA420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A6189" w:rsidRDefault="006A6189" w:rsidP="006A6189">
      <w:pPr>
        <w:spacing w:after="0" w:line="240" w:lineRule="auto"/>
        <w:jc w:val="center"/>
        <w:rPr>
          <w:b/>
          <w:sz w:val="24"/>
          <w:szCs w:val="24"/>
        </w:rPr>
      </w:pPr>
      <w:r w:rsidRPr="00DA4203">
        <w:rPr>
          <w:rFonts w:ascii="Times New Roman" w:hAnsi="Times New Roman" w:cs="Times New Roman"/>
          <w:b/>
          <w:sz w:val="24"/>
          <w:szCs w:val="24"/>
        </w:rPr>
        <w:t xml:space="preserve">Оценочный лист кандидата на </w:t>
      </w:r>
      <w:proofErr w:type="gramStart"/>
      <w:r w:rsidRPr="00DA4203">
        <w:rPr>
          <w:rFonts w:ascii="Times New Roman" w:hAnsi="Times New Roman" w:cs="Times New Roman"/>
          <w:b/>
          <w:sz w:val="24"/>
          <w:szCs w:val="24"/>
        </w:rPr>
        <w:t>вакантную</w:t>
      </w:r>
      <w:proofErr w:type="gramEnd"/>
      <w:r w:rsidRPr="00DA4203">
        <w:rPr>
          <w:rFonts w:ascii="Times New Roman" w:hAnsi="Times New Roman" w:cs="Times New Roman"/>
          <w:b/>
          <w:sz w:val="24"/>
          <w:szCs w:val="24"/>
        </w:rPr>
        <w:t xml:space="preserve"> или временно</w:t>
      </w:r>
    </w:p>
    <w:p w:rsidR="006A6189" w:rsidRDefault="006A6189" w:rsidP="006A6189">
      <w:pPr>
        <w:spacing w:after="0" w:line="240" w:lineRule="auto"/>
        <w:jc w:val="center"/>
        <w:rPr>
          <w:b/>
          <w:sz w:val="24"/>
          <w:szCs w:val="24"/>
        </w:rPr>
      </w:pPr>
      <w:r w:rsidRPr="00DA4203">
        <w:rPr>
          <w:rFonts w:ascii="Times New Roman" w:hAnsi="Times New Roman" w:cs="Times New Roman"/>
          <w:b/>
          <w:sz w:val="24"/>
          <w:szCs w:val="24"/>
        </w:rPr>
        <w:t xml:space="preserve"> вакантную должность педагога</w:t>
      </w:r>
    </w:p>
    <w:p w:rsidR="006A6189" w:rsidRDefault="006A6189" w:rsidP="006A61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6A6189" w:rsidRDefault="006A6189" w:rsidP="006A6189">
      <w:pPr>
        <w:spacing w:after="0" w:line="240" w:lineRule="auto"/>
        <w:jc w:val="center"/>
        <w:rPr>
          <w:sz w:val="24"/>
          <w:szCs w:val="24"/>
        </w:rPr>
      </w:pPr>
      <w:r w:rsidRPr="00DA4203">
        <w:rPr>
          <w:rFonts w:ascii="Times New Roman" w:hAnsi="Times New Roman" w:cs="Times New Roman"/>
          <w:sz w:val="24"/>
          <w:szCs w:val="24"/>
        </w:rPr>
        <w:t>(фамилия, имя, отчество (при его наличии))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2502"/>
        <w:gridCol w:w="3006"/>
        <w:gridCol w:w="2754"/>
        <w:gridCol w:w="840"/>
      </w:tblGrid>
      <w:tr w:rsidR="006A6189" w:rsidRPr="00DA4203" w:rsidTr="00353889">
        <w:trPr>
          <w:trHeight w:val="30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Подтверждающий документ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1 до 20)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65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Копии диплома об образовании и приложения к диплому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профессиональное = 1 балл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очное = 2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очное с отличием = 3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Магистр = 5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Ученая/академическая степень</w:t>
            </w: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Копии диплома об образовании и приложения к диплому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PHD-доктор = 10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Доктор наук = 10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Кандидат наук = 10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720"/>
          <w:jc w:val="center"/>
        </w:trPr>
        <w:tc>
          <w:tcPr>
            <w:tcW w:w="469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2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"педагог" плюс 5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Удостоверение, иной документ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2 категория = 1 балл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1 категория = 2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Высшая категория = 3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Педагог-модератор = 3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Педагог-эксперт = 5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Педагог-исследователь = 7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Опыт административной и методической деятельности</w:t>
            </w: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Методист (стаж в должности не менее 2 лет) = 1 балл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(стаж в должности не менее 2 лет) = 3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директор (стаж в должности не менее 2 лет) = 5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78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Для педагогов, впервые поступающих на работу</w:t>
            </w: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Результаты педагогической/ профессиональной практики "отлично" = 1 балл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"хорошо" = 0,5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75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Наличие положительного рекомендательного письма = 3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Негативное рекомендательное письмо = минус 3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72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призеры олимпиад и конкурсов = 0,5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- дипломы, грамоты победителей олимпиад и конкурсов учителя;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научных проектов = 1 балл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57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призеры олимпиад и конкурсов = 3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участник конкурса "Лучший педагог" = 1 балл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54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призер конкурса "Лучший педагог" = 5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обладатель медали "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сіңірген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ұстазы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" = 10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72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автор или соавтор учебников и (или) УМК, включенных в перечень МП РК = 5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72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96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= 3 балла</w:t>
            </w:r>
            <w:proofErr w:type="gramEnd"/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3006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наставник = 0,5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руководство МО = 2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преподавание на 2 языках, русский/казахский = 2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иностранный/русский, иностранный/казахский) = 3 балла,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02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- сертификаты предметной подготовки;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курсы ЦПМ НИШ, "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Өрлеу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- сертификат на цифровую грамотность,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= 0,5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КАЗТЕСТ,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135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IELTS;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TOEFL;</w:t>
            </w:r>
          </w:p>
        </w:tc>
        <w:tc>
          <w:tcPr>
            <w:tcW w:w="2754" w:type="dxa"/>
            <w:vMerge w:val="restart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= 0,5 балла (каждый отдельно)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DELF;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72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Goethe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Zertifikat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"Основы программирования в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", "Обучение работе с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Курсера</w:t>
            </w:r>
            <w:proofErr w:type="spellEnd"/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Международные курсы: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TEFL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"CELTA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(Certificate in Teaching English to Speakers of Other Languages)"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CELT-P (Certificate in English Language Teaching – Primary)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DELTA (Diploma in Teaching English to Speakers of Other Languages)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CELT-S (Certificate in English Language Teaching – Secondary)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"TKT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 in EMI Skills (English as a Medium of Instruction)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 of English to Speakers of Other Languages (TESOL)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"TESOL"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 in teaching English for young learners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House Certificate in Teaching English as a Foreign Language (IHC)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IHCYLT - International House Certificate In Teaching Young Learners and Teenagers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Becoming a Better Teacher: Exploring Professional Development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Teaching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 Teaching for Educators: Development and Delivery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48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 Ideas in Mentoring Mathematics Teachers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платформе</w:t>
            </w: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Coursera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Futute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learn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469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"Developing expertise in teaching chemistry</w:t>
            </w:r>
          </w:p>
        </w:tc>
        <w:tc>
          <w:tcPr>
            <w:tcW w:w="2754" w:type="dxa"/>
            <w:vMerge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6A6189" w:rsidRPr="00DA4203" w:rsidTr="00353889">
        <w:trPr>
          <w:trHeight w:val="2715"/>
          <w:jc w:val="center"/>
        </w:trPr>
        <w:tc>
          <w:tcPr>
            <w:tcW w:w="469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2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  <w:proofErr w:type="gramStart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3006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2754" w:type="dxa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плюс 3 балла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189" w:rsidRPr="00DA4203" w:rsidTr="00353889">
        <w:trPr>
          <w:trHeight w:val="300"/>
          <w:jc w:val="center"/>
        </w:trPr>
        <w:tc>
          <w:tcPr>
            <w:tcW w:w="2971" w:type="dxa"/>
            <w:gridSpan w:val="2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760" w:type="dxa"/>
            <w:gridSpan w:val="2"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6A6189" w:rsidRPr="00DA4203" w:rsidRDefault="006A6189" w:rsidP="0035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2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bookmarkStart w:id="0" w:name="_GoBack"/>
      <w:bookmarkEnd w:id="0"/>
    </w:p>
    <w:sectPr w:rsidR="00437A2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6189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1ADE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BB16-8391-4926-A7E3-BBBAABE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Гинатолла</cp:lastModifiedBy>
  <cp:revision>6</cp:revision>
  <cp:lastPrinted>2022-02-21T04:12:00Z</cp:lastPrinted>
  <dcterms:created xsi:type="dcterms:W3CDTF">2023-09-13T06:37:00Z</dcterms:created>
  <dcterms:modified xsi:type="dcterms:W3CDTF">2023-10-24T18:30:00Z</dcterms:modified>
</cp:coreProperties>
</file>