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CE18B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1 сәбилер бақсасы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D70D9E" w:rsidRDefault="00DA04B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D70D9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кезеңіне, </w:t>
      </w:r>
    </w:p>
    <w:p w:rsidR="00B00AEE" w:rsidRDefault="007954C8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01</w:t>
      </w:r>
      <w:r w:rsidR="007C6B1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.02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.2024 жылға дейін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7954C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911E78" w:rsidRPr="00911E7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2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1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C6B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C6B15">
              <w:rPr>
                <w:rFonts w:ascii="Arial" w:hAnsi="Arial" w:cs="Arial"/>
                <w:sz w:val="20"/>
                <w:szCs w:val="20"/>
                <w:lang w:val="kk-KZ"/>
              </w:rPr>
              <w:t>Астана 1 А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7C6B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5</w:t>
            </w:r>
            <w:r w:rsidR="007C6B15">
              <w:rPr>
                <w:rFonts w:ascii="Arial" w:hAnsi="Arial" w:cs="Arial"/>
                <w:sz w:val="20"/>
                <w:szCs w:val="20"/>
                <w:lang w:val="kk-KZ"/>
              </w:rPr>
              <w:t>3-35-34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7C6B15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21</w:t>
            </w:r>
            <w:r w:rsidRPr="00C61AE2">
              <w:rPr>
                <w:rFonts w:ascii="Arial" w:hAnsi="Arial" w:cs="Arial"/>
                <w:sz w:val="20"/>
                <w:szCs w:val="20"/>
                <w:u w:val="single"/>
              </w:rPr>
              <w:t>@</w:t>
            </w:r>
            <w:r w:rsidRPr="00C61AE2"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C61AE2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C61AE2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C61AE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61AE2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7954C8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C6B15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C6B1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C6B1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C6B15" w:rsidRPr="007C6B1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92695</w:t>
            </w:r>
            <w:r w:rsidRPr="007C6B1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C6B1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7C6B15" w:rsidRPr="007C6B15">
              <w:rPr>
                <w:rFonts w:ascii="Arial" w:eastAsia="Times New Roman" w:hAnsi="Arial" w:cs="Arial"/>
                <w:bCs/>
                <w:sz w:val="20"/>
                <w:szCs w:val="20"/>
              </w:rPr>
              <w:t>98024</w:t>
            </w:r>
            <w:r w:rsidR="008E7665" w:rsidRPr="007C6B1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тәрбие және оқыту" бағыты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жоғары 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жоғары оқу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техникалық және кәсі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пт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ік педагогикалық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жоғары 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жоғары оқу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техникалықжәне кәсіптік педагогикалық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 жоғары деңгейі болған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үшін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үшін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 орта деңгейі болған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үшін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үшін-кемінде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7954C8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2-28.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2.2023</w:t>
            </w:r>
          </w:p>
        </w:tc>
      </w:tr>
      <w:tr w:rsidR="00B1578A" w:rsidRPr="007954C8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ға сәйкес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Конкурсқа қатысу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куәландыратын 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цифрлық құжаттар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алынған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құжат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үшін);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толтырылған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парағы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(нақты 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көрсетілген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Педагогтердің үлгілік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қойылатын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сәйкес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құжаттардың көшірмелері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еңбек қызметін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құжаттың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көшірмесі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Денсаулық сақтау саласындағы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құжаттамасының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Денсаулық сақтау министрінің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атқарушының 2020 жылғы 30 қазандағы № ҚР ДСМ-175/2020 бұйрығымен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денсаулық жағдайы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 ұйымнан 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 ұйымнан 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Ұлттық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(бұдан 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і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санатының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куәлік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(болған 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уақытша,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қызметкердің бала күті</w:t>
            </w:r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мі </w:t>
            </w:r>
            <w:proofErr w:type="spellStart"/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демалысы</w:t>
            </w:r>
            <w:proofErr w:type="spellEnd"/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кезеңіне, </w:t>
            </w:r>
            <w:r w:rsidR="0079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01</w:t>
            </w:r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.0</w:t>
            </w:r>
            <w:r w:rsidR="007C6B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2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.202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ыл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Pr="007716E0" w:rsidRDefault="007F5406" w:rsidP="007716E0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sectPr w:rsidR="007F5406" w:rsidRPr="007716E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6E0"/>
    <w:rsid w:val="00771CBE"/>
    <w:rsid w:val="0077286E"/>
    <w:rsid w:val="00775FEF"/>
    <w:rsid w:val="007827E9"/>
    <w:rsid w:val="007844FC"/>
    <w:rsid w:val="007954C8"/>
    <w:rsid w:val="007A2085"/>
    <w:rsid w:val="007A339B"/>
    <w:rsid w:val="007A3FA2"/>
    <w:rsid w:val="007A5711"/>
    <w:rsid w:val="007B3459"/>
    <w:rsid w:val="007C6B15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1E78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1AE2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18B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134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FF4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F3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6BF0-8FFE-4AE0-BCEC-FC3D512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21</cp:revision>
  <cp:lastPrinted>2022-02-21T04:12:00Z</cp:lastPrinted>
  <dcterms:created xsi:type="dcterms:W3CDTF">2022-02-18T12:04:00Z</dcterms:created>
  <dcterms:modified xsi:type="dcterms:W3CDTF">2023-12-22T08:41:00Z</dcterms:modified>
</cp:coreProperties>
</file>