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836766" w:rsidRDefault="00D91271" w:rsidP="00836766">
      <w:pPr>
        <w:pStyle w:val="aa"/>
        <w:jc w:val="center"/>
        <w:rPr>
          <w:rFonts w:ascii="Times New Roman" w:hAnsi="Times New Roman"/>
          <w:b/>
          <w:sz w:val="24"/>
          <w:szCs w:val="24"/>
          <w:lang w:val="kk-KZ"/>
        </w:rPr>
      </w:pPr>
      <w:r w:rsidRPr="00836766">
        <w:rPr>
          <w:rFonts w:ascii="Times New Roman" w:hAnsi="Times New Roman"/>
          <w:b/>
          <w:sz w:val="24"/>
          <w:szCs w:val="24"/>
          <w:lang w:val="kk-KZ"/>
        </w:rPr>
        <w:t>«Павлодар қаласының М. Әуезов атындағы жалпы орта білім беретін мектебі» КММ</w:t>
      </w:r>
    </w:p>
    <w:p w:rsidR="00836766" w:rsidRPr="00836766" w:rsidRDefault="00836766" w:rsidP="00836766">
      <w:pPr>
        <w:pStyle w:val="aa"/>
        <w:jc w:val="center"/>
        <w:rPr>
          <w:rFonts w:ascii="Times New Roman" w:hAnsi="Times New Roman"/>
          <w:b/>
          <w:color w:val="1E1E1E"/>
          <w:sz w:val="24"/>
          <w:szCs w:val="24"/>
          <w:lang w:val="kk-KZ"/>
        </w:rPr>
      </w:pPr>
      <w:r w:rsidRPr="00836766">
        <w:rPr>
          <w:rFonts w:ascii="Times New Roman" w:hAnsi="Times New Roman"/>
          <w:b/>
          <w:color w:val="1E1E1E"/>
          <w:sz w:val="24"/>
          <w:szCs w:val="24"/>
          <w:lang w:val="kk-KZ"/>
        </w:rPr>
        <w:t>бастапқы әскери және технологиялық даярлығының педагог-ұйымдастырушысы</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лауазымына</w:t>
      </w:r>
      <w:r w:rsidR="00836766">
        <w:rPr>
          <w:rFonts w:ascii="Times New Roman" w:hAnsi="Times New Roman" w:cs="Times New Roman"/>
          <w:b/>
          <w:color w:val="000000"/>
          <w:sz w:val="24"/>
          <w:szCs w:val="24"/>
          <w:lang w:val="kk-KZ"/>
        </w:rPr>
        <w:t xml:space="preserve">  </w:t>
      </w:r>
      <w:r w:rsidR="00AB4907">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7F2EAF"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7F2EAF"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836766" w:rsidP="00836766">
            <w:pPr>
              <w:pStyle w:val="aa"/>
              <w:rPr>
                <w:rFonts w:ascii="Times New Roman" w:hAnsi="Times New Roman"/>
                <w:bCs/>
                <w:sz w:val="24"/>
                <w:szCs w:val="24"/>
                <w:lang w:val="kk-KZ"/>
              </w:rPr>
            </w:pPr>
            <w:r w:rsidRPr="00836766">
              <w:rPr>
                <w:rFonts w:ascii="Times New Roman" w:hAnsi="Times New Roman"/>
                <w:color w:val="1E1E1E"/>
                <w:sz w:val="24"/>
                <w:szCs w:val="24"/>
                <w:lang w:val="kk-KZ"/>
              </w:rPr>
              <w:t>бастапқы әскери және технологиялық даярлығының педагог-ұйымдастырушысы</w:t>
            </w:r>
            <w:r>
              <w:rPr>
                <w:rFonts w:ascii="Times New Roman" w:hAnsi="Times New Roman"/>
                <w:color w:val="1E1E1E"/>
                <w:sz w:val="24"/>
                <w:szCs w:val="24"/>
                <w:lang w:val="kk-KZ"/>
              </w:rPr>
              <w:t>,</w:t>
            </w:r>
            <w:r w:rsidR="002732DF" w:rsidRPr="002732DF">
              <w:rPr>
                <w:rFonts w:ascii="Times New Roman" w:hAnsi="Times New Roman"/>
                <w:color w:val="000000"/>
                <w:sz w:val="24"/>
                <w:szCs w:val="24"/>
                <w:lang w:val="kk-KZ"/>
              </w:rPr>
              <w:t xml:space="preserve"> жүктеме -</w:t>
            </w:r>
            <w:r>
              <w:rPr>
                <w:rFonts w:ascii="Times New Roman" w:hAnsi="Times New Roman"/>
                <w:color w:val="000000"/>
                <w:sz w:val="24"/>
                <w:szCs w:val="24"/>
                <w:lang w:val="kk-KZ"/>
              </w:rPr>
              <w:t>1 ставка</w:t>
            </w:r>
          </w:p>
        </w:tc>
      </w:tr>
      <w:tr w:rsidR="00261EAA" w:rsidRPr="007F2EAF"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w:t>
            </w:r>
            <w:r w:rsidRPr="00196F63">
              <w:rPr>
                <w:rFonts w:ascii="Times New Roman" w:hAnsi="Times New Roman"/>
                <w:sz w:val="24"/>
                <w:szCs w:val="24"/>
                <w:lang w:val="kk-KZ"/>
              </w:rPr>
              <w:t> білім алушыларды әскери-патриоттық тәрбиелеу жөніндегі жұмысты ұйымдастырады; оқу бағдарламаларын, оқу-әдістемелік кешендерді әзірлейді;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 кабинетін жабдықтауға және жабдықтауға қойылатын талаптарды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әскерге шақыру жасына дейінгілерді әскери есепке қою жөніндегі алдын ала жұмысты ұйымдастырады;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оқу-тәрбие үдерісінде қауіпсіздік шараларын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61EAA" w:rsidRPr="00196F63" w:rsidRDefault="00261EAA" w:rsidP="00196F63">
            <w:pPr>
              <w:pStyle w:val="aa"/>
              <w:rPr>
                <w:rFonts w:ascii="Times New Roman" w:hAnsi="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7F2EAF"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 xml:space="preserve">Кандидатқа қойылатын, </w:t>
            </w:r>
            <w:r w:rsidRPr="00AB3BA7">
              <w:rPr>
                <w:rFonts w:ascii="Times New Roman" w:eastAsia="Calibri" w:hAnsi="Times New Roman" w:cs="Times New Roman"/>
                <w:b/>
                <w:sz w:val="24"/>
                <w:szCs w:val="24"/>
                <w:lang w:val="kk-KZ"/>
              </w:rPr>
              <w:lastRenderedPageBreak/>
              <w:t>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lastRenderedPageBreak/>
              <w:t>-</w:t>
            </w:r>
            <w:r w:rsidR="00654040" w:rsidRPr="00FD0AF2">
              <w:rPr>
                <w:rFonts w:ascii="Times New Roman" w:hAnsi="Times New Roman"/>
                <w:sz w:val="24"/>
                <w:szCs w:val="24"/>
                <w:lang w:val="kk-KZ"/>
              </w:rPr>
              <w:t xml:space="preserve">тиісті бейін бойынша жоғары және (немесе) жоғары оқу орнынан кейінгі педагогикалық немесе техникалық және кәсіптік, орта білімнен </w:t>
            </w:r>
            <w:r w:rsidR="00654040" w:rsidRPr="00FD0AF2">
              <w:rPr>
                <w:rFonts w:ascii="Times New Roman" w:hAnsi="Times New Roman"/>
                <w:sz w:val="24"/>
                <w:szCs w:val="24"/>
                <w:lang w:val="kk-KZ"/>
              </w:rPr>
              <w:lastRenderedPageBreak/>
              <w:t>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F2EAF" w:rsidP="007F2EAF">
            <w:pPr>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rPr>
              <w:t>2.05-14.05.</w:t>
            </w:r>
            <w:r w:rsidR="00142533">
              <w:rPr>
                <w:rFonts w:ascii="Times New Roman" w:eastAsia="Times New Roman" w:hAnsi="Times New Roman" w:cs="Times New Roman"/>
                <w:bCs/>
                <w:sz w:val="24"/>
                <w:szCs w:val="24"/>
              </w:rPr>
              <w:t>2024</w:t>
            </w:r>
            <w:r w:rsidR="00142533">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7F2EAF"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7564A0"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7564A0"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7564A0"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w:t>
            </w:r>
            <w:r w:rsidRPr="00D55AEB">
              <w:rPr>
                <w:rFonts w:ascii="Times New Roman" w:hAnsi="Times New Roman"/>
                <w:sz w:val="24"/>
                <w:szCs w:val="24"/>
                <w:lang w:val="en-US"/>
              </w:rPr>
              <w:lastRenderedPageBreak/>
              <w:t>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7F2EAF"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96F63" w:rsidRDefault="007921C8" w:rsidP="007921C8">
      <w:pPr>
        <w:pStyle w:val="aa"/>
        <w:jc w:val="center"/>
        <w:rPr>
          <w:rFonts w:ascii="Times New Roman" w:hAnsi="Times New Roman"/>
          <w:sz w:val="20"/>
          <w:szCs w:val="20"/>
          <w:lang w:val="kk-KZ"/>
        </w:rPr>
      </w:pPr>
      <w:r w:rsidRPr="00196F63">
        <w:rPr>
          <w:rFonts w:ascii="Times New Roman" w:hAnsi="Times New Roman"/>
          <w:sz w:val="20"/>
          <w:szCs w:val="20"/>
          <w:lang w:val="kk-KZ"/>
        </w:rPr>
        <w:t>Бос немесе уақытша бос педагог лауазымына үміткердің бағалау парағы</w:t>
      </w:r>
    </w:p>
    <w:p w:rsidR="007921C8" w:rsidRPr="00196F63" w:rsidRDefault="007921C8" w:rsidP="007921C8">
      <w:pPr>
        <w:pStyle w:val="aa"/>
        <w:jc w:val="center"/>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___________________________________________________</w:t>
      </w:r>
    </w:p>
    <w:p w:rsidR="007921C8" w:rsidRPr="00196F63" w:rsidRDefault="007921C8" w:rsidP="007921C8">
      <w:pPr>
        <w:pStyle w:val="aa"/>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7F2EAF"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4B15"/>
    <w:rsid w:val="000050AF"/>
    <w:rsid w:val="0001180A"/>
    <w:rsid w:val="0001635C"/>
    <w:rsid w:val="00024BDF"/>
    <w:rsid w:val="000319E6"/>
    <w:rsid w:val="00044308"/>
    <w:rsid w:val="000473DC"/>
    <w:rsid w:val="00047A29"/>
    <w:rsid w:val="0005281D"/>
    <w:rsid w:val="00055391"/>
    <w:rsid w:val="00055EA0"/>
    <w:rsid w:val="00057149"/>
    <w:rsid w:val="00061B8E"/>
    <w:rsid w:val="00065B9B"/>
    <w:rsid w:val="0007234E"/>
    <w:rsid w:val="0007336C"/>
    <w:rsid w:val="000842BF"/>
    <w:rsid w:val="00085550"/>
    <w:rsid w:val="00085F43"/>
    <w:rsid w:val="00090BEE"/>
    <w:rsid w:val="000922AC"/>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533"/>
    <w:rsid w:val="00142D11"/>
    <w:rsid w:val="001436E9"/>
    <w:rsid w:val="00144A54"/>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96F63"/>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5D5"/>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4A0"/>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2EAF"/>
    <w:rsid w:val="007F3DBC"/>
    <w:rsid w:val="00800002"/>
    <w:rsid w:val="00801FDE"/>
    <w:rsid w:val="0081008A"/>
    <w:rsid w:val="008211E1"/>
    <w:rsid w:val="00821210"/>
    <w:rsid w:val="00822590"/>
    <w:rsid w:val="00822C55"/>
    <w:rsid w:val="00836766"/>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006"/>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191B"/>
    <w:rsid w:val="00A90563"/>
    <w:rsid w:val="00A949A2"/>
    <w:rsid w:val="00AA107F"/>
    <w:rsid w:val="00AA5364"/>
    <w:rsid w:val="00AB4907"/>
    <w:rsid w:val="00AB7639"/>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86A97"/>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3446"/>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609048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57845626">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70</cp:revision>
  <cp:lastPrinted>2022-08-01T04:53:00Z</cp:lastPrinted>
  <dcterms:created xsi:type="dcterms:W3CDTF">2022-11-01T04:28:00Z</dcterms:created>
  <dcterms:modified xsi:type="dcterms:W3CDTF">2024-05-02T06:24:00Z</dcterms:modified>
</cp:coreProperties>
</file>